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DD" w:rsidRDefault="002E75FD">
      <w:pPr>
        <w:pStyle w:val="a5"/>
        <w:framePr w:wrap="none" w:vAnchor="page" w:hAnchor="page" w:x="570" w:y="340"/>
        <w:shd w:val="clear" w:color="auto" w:fill="auto"/>
        <w:spacing w:line="200" w:lineRule="exact"/>
      </w:pPr>
      <w:r>
        <w:t>—</w:t>
      </w:r>
      <w:r>
        <w:rPr>
          <w:rStyle w:val="TimesNewRoman10pt"/>
          <w:rFonts w:eastAsia="Corbel"/>
          <w:vertAlign w:val="superscript"/>
        </w:rPr>
        <w:t>4</w:t>
      </w:r>
      <w:r>
        <w:t>■%</w:t>
      </w:r>
    </w:p>
    <w:p w:rsidR="001E02DD" w:rsidRDefault="002E75FD">
      <w:pPr>
        <w:pStyle w:val="30"/>
        <w:framePr w:wrap="none" w:vAnchor="page" w:hAnchor="page" w:x="954" w:y="370"/>
        <w:shd w:val="clear" w:color="auto" w:fill="auto"/>
        <w:spacing w:line="90" w:lineRule="exact"/>
      </w:pPr>
      <w:r>
        <w:t>%</w:t>
      </w:r>
    </w:p>
    <w:p w:rsidR="001E02DD" w:rsidRDefault="002E75FD">
      <w:pPr>
        <w:pStyle w:val="10"/>
        <w:framePr w:w="2779" w:h="664" w:hRule="exact" w:wrap="none" w:vAnchor="page" w:hAnchor="page" w:x="1774" w:y="2245"/>
        <w:shd w:val="clear" w:color="auto" w:fill="auto"/>
        <w:spacing w:line="302" w:lineRule="exact"/>
        <w:jc w:val="both"/>
      </w:pPr>
      <w:bookmarkStart w:id="0" w:name="bookmark0"/>
      <w:r>
        <w:t>Чеченской Республики Прокуратура г. Аргуна</w:t>
      </w:r>
      <w:bookmarkEnd w:id="0"/>
    </w:p>
    <w:p w:rsidR="001E02DD" w:rsidRDefault="002E75FD">
      <w:pPr>
        <w:pStyle w:val="10"/>
        <w:framePr w:wrap="none" w:vAnchor="page" w:hAnchor="page" w:x="1798" w:y="1661"/>
        <w:shd w:val="clear" w:color="auto" w:fill="auto"/>
        <w:spacing w:line="280" w:lineRule="exact"/>
      </w:pPr>
      <w:bookmarkStart w:id="1" w:name="bookmark1"/>
      <w:r>
        <w:t>Российской Федерации</w:t>
      </w:r>
      <w:bookmarkEnd w:id="1"/>
    </w:p>
    <w:p w:rsidR="001E02DD" w:rsidRDefault="002E75FD">
      <w:pPr>
        <w:pStyle w:val="10"/>
        <w:framePr w:wrap="none" w:vAnchor="page" w:hAnchor="page" w:x="2374" w:y="1970"/>
        <w:shd w:val="clear" w:color="auto" w:fill="auto"/>
        <w:spacing w:line="280" w:lineRule="exact"/>
      </w:pPr>
      <w:bookmarkStart w:id="2" w:name="bookmark2"/>
      <w:r>
        <w:t>Прокуратура</w:t>
      </w:r>
      <w:bookmarkEnd w:id="2"/>
    </w:p>
    <w:p w:rsidR="001E02DD" w:rsidRDefault="002E75FD">
      <w:pPr>
        <w:pStyle w:val="10"/>
        <w:framePr w:wrap="none" w:vAnchor="page" w:hAnchor="page" w:x="2384" w:y="1370"/>
        <w:shd w:val="clear" w:color="auto" w:fill="auto"/>
        <w:spacing w:line="280" w:lineRule="exact"/>
      </w:pPr>
      <w:bookmarkStart w:id="3" w:name="bookmark3"/>
      <w:r>
        <w:t>Прокуратура</w:t>
      </w:r>
      <w:bookmarkEnd w:id="3"/>
    </w:p>
    <w:p w:rsidR="001E02DD" w:rsidRDefault="002E75FD">
      <w:pPr>
        <w:pStyle w:val="20"/>
        <w:framePr w:w="4234" w:h="1507" w:hRule="exact" w:wrap="none" w:vAnchor="page" w:hAnchor="page" w:x="6027" w:y="1047"/>
        <w:shd w:val="clear" w:color="auto" w:fill="auto"/>
        <w:spacing w:after="208"/>
      </w:pPr>
      <w:r>
        <w:t>Директору МБОУ «Гимназия № 13 г. Аргуна»</w:t>
      </w:r>
    </w:p>
    <w:p w:rsidR="001E02DD" w:rsidRDefault="002E75FD">
      <w:pPr>
        <w:pStyle w:val="20"/>
        <w:framePr w:w="4234" w:h="1507" w:hRule="exact" w:wrap="none" w:vAnchor="page" w:hAnchor="page" w:x="6027" w:y="1047"/>
        <w:shd w:val="clear" w:color="auto" w:fill="auto"/>
        <w:spacing w:after="152" w:line="280" w:lineRule="exact"/>
      </w:pPr>
      <w:r>
        <w:t>Диканиеву Р.С.</w:t>
      </w:r>
    </w:p>
    <w:p w:rsidR="001E02DD" w:rsidRDefault="002E75FD">
      <w:pPr>
        <w:pStyle w:val="20"/>
        <w:framePr w:w="4234" w:h="1507" w:hRule="exact" w:wrap="none" w:vAnchor="page" w:hAnchor="page" w:x="6027" w:y="1047"/>
        <w:shd w:val="clear" w:color="auto" w:fill="auto"/>
        <w:spacing w:after="0" w:line="280" w:lineRule="exact"/>
      </w:pPr>
      <w:r>
        <w:t>ЧР, г. Аргун, ул. Шоссейная, 133а</w:t>
      </w:r>
    </w:p>
    <w:p w:rsidR="001E02DD" w:rsidRDefault="002E75FD" w:rsidP="002E75FD">
      <w:pPr>
        <w:pStyle w:val="40"/>
        <w:framePr w:w="9955" w:h="1073" w:hRule="exact" w:wrap="none" w:vAnchor="page" w:hAnchor="page" w:x="1273" w:y="3157"/>
        <w:shd w:val="clear" w:color="auto" w:fill="auto"/>
        <w:spacing w:after="0"/>
        <w:ind w:left="520" w:right="6680"/>
      </w:pPr>
      <w:r>
        <w:t>ул.А. Кадырова, д.62 в, г. Аргун, Чеченская Республика, 366310</w:t>
      </w:r>
    </w:p>
    <w:p w:rsidR="002E75FD" w:rsidRDefault="002E75FD" w:rsidP="002E75FD">
      <w:pPr>
        <w:pStyle w:val="40"/>
        <w:framePr w:w="9955" w:h="1073" w:hRule="exact" w:wrap="none" w:vAnchor="page" w:hAnchor="page" w:x="1273" w:y="3157"/>
        <w:shd w:val="clear" w:color="auto" w:fill="auto"/>
        <w:spacing w:after="0"/>
        <w:ind w:left="520" w:right="6680"/>
      </w:pPr>
    </w:p>
    <w:p w:rsidR="002E75FD" w:rsidRDefault="002E75FD" w:rsidP="002E75FD">
      <w:pPr>
        <w:pStyle w:val="40"/>
        <w:framePr w:w="9955" w:h="1073" w:hRule="exact" w:wrap="none" w:vAnchor="page" w:hAnchor="page" w:x="1273" w:y="3157"/>
        <w:shd w:val="clear" w:color="auto" w:fill="auto"/>
        <w:spacing w:after="0"/>
        <w:ind w:left="520" w:right="6680"/>
        <w:jc w:val="left"/>
      </w:pPr>
      <w:r>
        <w:t>15.04.2019№7-19-2019</w:t>
      </w:r>
      <w:bookmarkStart w:id="4" w:name="_GoBack"/>
      <w:bookmarkEnd w:id="4"/>
    </w:p>
    <w:p w:rsidR="002E75FD" w:rsidRDefault="002E75FD" w:rsidP="002E75FD">
      <w:pPr>
        <w:pStyle w:val="40"/>
        <w:framePr w:w="9955" w:h="1073" w:hRule="exact" w:wrap="none" w:vAnchor="page" w:hAnchor="page" w:x="1273" w:y="3157"/>
        <w:shd w:val="clear" w:color="auto" w:fill="auto"/>
        <w:spacing w:after="0"/>
        <w:ind w:left="520" w:right="6680"/>
        <w:jc w:val="left"/>
      </w:pPr>
    </w:p>
    <w:p w:rsidR="001E02DD" w:rsidRDefault="002E75FD">
      <w:pPr>
        <w:pStyle w:val="10"/>
        <w:framePr w:w="9955" w:h="584" w:hRule="exact" w:wrap="none" w:vAnchor="page" w:hAnchor="page" w:x="1227" w:y="5028"/>
        <w:shd w:val="clear" w:color="auto" w:fill="auto"/>
        <w:spacing w:line="280" w:lineRule="exact"/>
        <w:ind w:left="5"/>
      </w:pPr>
      <w:bookmarkStart w:id="5" w:name="bookmark4"/>
      <w:r>
        <w:t>ПРЕДСТАВЛЕНИЕ</w:t>
      </w:r>
      <w:bookmarkEnd w:id="5"/>
    </w:p>
    <w:p w:rsidR="001E02DD" w:rsidRDefault="002E75FD">
      <w:pPr>
        <w:pStyle w:val="20"/>
        <w:framePr w:w="9955" w:h="584" w:hRule="exact" w:wrap="none" w:vAnchor="page" w:hAnchor="page" w:x="1227" w:y="5028"/>
        <w:shd w:val="clear" w:color="auto" w:fill="auto"/>
        <w:spacing w:after="0" w:line="280" w:lineRule="exact"/>
        <w:ind w:left="5"/>
        <w:jc w:val="left"/>
      </w:pPr>
      <w:r>
        <w:t>об устранении нарушений требований</w:t>
      </w:r>
    </w:p>
    <w:p w:rsidR="001E02DD" w:rsidRDefault="002E75FD">
      <w:pPr>
        <w:framePr w:wrap="none" w:vAnchor="page" w:hAnchor="page" w:x="344" w:y="578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13995"/>
            <wp:effectExtent l="0" t="0" r="4445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DD" w:rsidRDefault="002E75FD">
      <w:pPr>
        <w:pStyle w:val="20"/>
        <w:framePr w:wrap="none" w:vAnchor="page" w:hAnchor="page" w:x="1938" w:y="5503"/>
        <w:shd w:val="clear" w:color="auto" w:fill="auto"/>
        <w:spacing w:after="0" w:line="280" w:lineRule="exact"/>
        <w:jc w:val="left"/>
      </w:pPr>
      <w:r>
        <w:t>ального законодательства</w:t>
      </w:r>
    </w:p>
    <w:p w:rsidR="001E02DD" w:rsidRDefault="002E75FD">
      <w:pPr>
        <w:pStyle w:val="20"/>
        <w:framePr w:w="9955" w:h="9718" w:hRule="exact" w:wrap="none" w:vAnchor="page" w:hAnchor="page" w:x="1227" w:y="5777"/>
        <w:shd w:val="clear" w:color="auto" w:fill="auto"/>
        <w:spacing w:after="239" w:line="280" w:lineRule="exact"/>
        <w:jc w:val="left"/>
      </w:pPr>
      <w:r>
        <w:t>об образовании, о противодействии экстремизму</w:t>
      </w:r>
    </w:p>
    <w:p w:rsidR="001E02DD" w:rsidRDefault="002E75FD">
      <w:pPr>
        <w:pStyle w:val="20"/>
        <w:framePr w:w="9955" w:h="9718" w:hRule="exact" w:wrap="none" w:vAnchor="page" w:hAnchor="page" w:x="1227" w:y="5777"/>
        <w:shd w:val="clear" w:color="auto" w:fill="auto"/>
        <w:spacing w:after="0" w:line="322" w:lineRule="exact"/>
        <w:ind w:firstLine="720"/>
      </w:pPr>
      <w:r>
        <w:t>Прокуратурой города Аргуна в апреле 2019 года проведена проверка исполнения законодательства об образовании, о противодействии экстремизму в деятельности МБОУ «Гимназия № 13 г. Аргуна» (далее - Учреждение) по результатам которой выявлены нарушения норм дей</w:t>
      </w:r>
      <w:r>
        <w:t>ствующего законодательства-, требующие принятия конкретных мер для их устранения и недопущения впредь.</w:t>
      </w:r>
    </w:p>
    <w:p w:rsidR="001E02DD" w:rsidRDefault="002E75FD">
      <w:pPr>
        <w:pStyle w:val="20"/>
        <w:framePr w:w="9955" w:h="9718" w:hRule="exact" w:wrap="none" w:vAnchor="page" w:hAnchor="page" w:x="1227" w:y="5777"/>
        <w:shd w:val="clear" w:color="auto" w:fill="auto"/>
        <w:spacing w:after="0" w:line="322" w:lineRule="exact"/>
        <w:ind w:firstLine="720"/>
      </w:pPr>
      <w:r>
        <w:t xml:space="preserve">В соответствии со ст. 4 Федерального закона от 24 .07. 1998 №124-ФЗ «Об основных гарантиях прав ребенка в Российской Федерации» государственная политика </w:t>
      </w:r>
      <w:r>
        <w:t xml:space="preserve">в интересах детей в нашей стране является приоритетной, а ее целями в интересах детей в частности являются содействие физическому, интеллектуальному, психическому, духовному и нравственному развитию детей, воспитанию в них патриотизма и гражданственности, </w:t>
      </w:r>
      <w:r>
        <w:t>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 защита дете</w:t>
      </w:r>
      <w:r>
        <w:t>й от факторов, негативно влияющих на их физическое, интеллектуальное, психическое, духовное и нравственное развитие.</w:t>
      </w:r>
    </w:p>
    <w:p w:rsidR="001E02DD" w:rsidRDefault="002E75FD">
      <w:pPr>
        <w:pStyle w:val="20"/>
        <w:framePr w:w="9955" w:h="9718" w:hRule="exact" w:wrap="none" w:vAnchor="page" w:hAnchor="page" w:x="1227" w:y="5777"/>
        <w:shd w:val="clear" w:color="auto" w:fill="auto"/>
        <w:spacing w:after="0" w:line="322" w:lineRule="exact"/>
        <w:ind w:firstLine="720"/>
      </w:pPr>
      <w:r>
        <w:t>Согласно п.1 ст. 2 Федерального закона от 29.12. 2012 № 273-ФЗ «Об образовании в Российской Федерации» (далее - ФЗ № 273) образование - еди</w:t>
      </w:r>
      <w:r>
        <w:t>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</w:t>
      </w:r>
      <w:r>
        <w:t>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1E02DD" w:rsidRDefault="002E75FD">
      <w:pPr>
        <w:pStyle w:val="20"/>
        <w:framePr w:w="9955" w:h="9718" w:hRule="exact" w:wrap="none" w:vAnchor="page" w:hAnchor="page" w:x="1227" w:y="5777"/>
        <w:shd w:val="clear" w:color="auto" w:fill="auto"/>
        <w:spacing w:after="0" w:line="322" w:lineRule="exact"/>
        <w:ind w:firstLine="720"/>
      </w:pPr>
      <w:r>
        <w:t>Как следует из п.1 ст.1</w:t>
      </w:r>
      <w:r>
        <w:t>2 Федерального закона № 273-ФЗ содержание образования должно содействовать взаимопониманию и сотр^д*да*+еству между людьми, народами независимо от расовой, ншажтйагаьной. Этнической,</w:t>
      </w:r>
    </w:p>
    <w:p w:rsidR="001E02DD" w:rsidRDefault="002E75FD">
      <w:pPr>
        <w:framePr w:wrap="none" w:vAnchor="page" w:hAnchor="page" w:x="325" w:y="103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213995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DD" w:rsidRDefault="002E75FD">
      <w:pPr>
        <w:framePr w:wrap="none" w:vAnchor="page" w:hAnchor="page" w:x="4256" w:y="1552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77290" cy="165100"/>
            <wp:effectExtent l="0" t="0" r="3810" b="635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DD" w:rsidRDefault="002E75FD">
      <w:pPr>
        <w:framePr w:wrap="none" w:vAnchor="page" w:hAnchor="page" w:x="7323" w:y="153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76070" cy="632460"/>
            <wp:effectExtent l="0" t="0" r="5080" b="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DD" w:rsidRDefault="001E02DD">
      <w:pPr>
        <w:rPr>
          <w:sz w:val="2"/>
          <w:szCs w:val="2"/>
        </w:rPr>
        <w:sectPr w:rsidR="001E02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spacing w:after="0" w:line="322" w:lineRule="exact"/>
      </w:pPr>
      <w:r>
        <w:lastRenderedPageBreak/>
        <w:t xml:space="preserve">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</w:t>
      </w:r>
      <w:r>
        <w:t>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tabs>
          <w:tab w:val="left" w:pos="8306"/>
        </w:tabs>
        <w:spacing w:after="0" w:line="322" w:lineRule="exact"/>
        <w:ind w:firstLine="780"/>
      </w:pPr>
      <w:r>
        <w:t>Согласно ст. 3 Федерального закона от 25. 07. 2002</w:t>
      </w:r>
      <w:r>
        <w:tab/>
        <w:t>№114-ФЗ «О</w:t>
      </w: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spacing w:after="0" w:line="322" w:lineRule="exact"/>
      </w:pPr>
      <w:r>
        <w:t>противодействии экстремистк</w:t>
      </w:r>
      <w:r>
        <w:t>ой деятельности» к одним из основных направлений противодействия экстремистской деятельности относится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</w:t>
      </w:r>
      <w:r>
        <w:t>овий, способствующих осуществлению экстремистской деятельности.</w:t>
      </w: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spacing w:after="0" w:line="322" w:lineRule="exact"/>
        <w:ind w:firstLine="780"/>
      </w:pPr>
      <w:r>
        <w:t xml:space="preserve">В соответствии с п.1 ст. 13 Федерального закона №114-ФЗ на территории Российской Федерации запрещается распространение экстремистских материалов, а также их производство или хранение в целях </w:t>
      </w:r>
      <w:r>
        <w:t>распространения.</w:t>
      </w: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spacing w:after="0" w:line="322" w:lineRule="exact"/>
        <w:ind w:firstLine="780"/>
      </w:pPr>
      <w:r>
        <w:t>Наличие свободного доступа к информационным материалам, признанным экстремистскими федеральным судом Российской Федерации, противоречит принципу приоритета мер, направленных на предупреждение экстремистской деятельности, закрепленного Феде</w:t>
      </w:r>
      <w:r>
        <w:t>ральным законом № 114-ФЗ.</w:t>
      </w: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spacing w:after="0" w:line="322" w:lineRule="exact"/>
        <w:ind w:firstLine="780"/>
      </w:pPr>
      <w:r>
        <w:t xml:space="preserve">В соответствии со ст. 16 Федерального закона от 29 .12. 2010 № 436-ФЗ «О защите детей от информации, причиняющей вред их здоровью и развитию» (далее- Закон № 436-ФЗ) информационная продукция, запрещенная для детей, не допускается </w:t>
      </w:r>
      <w:r>
        <w:t>к распространению в предназначенных для детей образовательных организациях, детских медицинских, санаторно-курортных, физкультурно</w:t>
      </w:r>
      <w:r>
        <w:softHyphen/>
        <w:t>спортивных организациях, организациях культуры, организациях отдыха и оздоровления детей или на расстоянии менее чем сто метр</w:t>
      </w:r>
      <w:r>
        <w:t>ов от границ территорий указанных организаций.</w:t>
      </w: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spacing w:after="0" w:line="322" w:lineRule="exact"/>
        <w:ind w:firstLine="780"/>
      </w:pPr>
      <w:r>
        <w:t>Согласно ч. 1 ст. 18 Федерального закона № 273-ФЗ «Об образовании в Российской Федерации» установлено, что в организациях, осуществляющих образовательную деятельность, в целях обеспечения реализации образовате</w:t>
      </w:r>
      <w:r>
        <w:t>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</w:t>
      </w:r>
      <w:r>
        <w:t xml:space="preserve">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</w:t>
      </w:r>
      <w:r>
        <w:t>м).</w:t>
      </w:r>
    </w:p>
    <w:p w:rsidR="001E02DD" w:rsidRDefault="002E75FD">
      <w:pPr>
        <w:pStyle w:val="20"/>
        <w:framePr w:w="10061" w:h="14615" w:hRule="exact" w:wrap="none" w:vAnchor="page" w:hAnchor="page" w:x="1137" w:y="1029"/>
        <w:shd w:val="clear" w:color="auto" w:fill="auto"/>
        <w:spacing w:after="0" w:line="322" w:lineRule="exact"/>
        <w:ind w:firstLine="780"/>
      </w:pPr>
      <w:r>
        <w:t>В соответствии с ч.1, 6 ст. 12 Федерального закона от 29 .12.1994 № ФЗ «О библиотечном деле»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 Библиотек</w:t>
      </w:r>
      <w:r>
        <w:t>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</w:t>
      </w:r>
    </w:p>
    <w:p w:rsidR="001E02DD" w:rsidRDefault="001E02DD">
      <w:pPr>
        <w:rPr>
          <w:sz w:val="2"/>
          <w:szCs w:val="2"/>
        </w:rPr>
        <w:sectPr w:rsidR="001E02D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E02DD" w:rsidRDefault="002E75FD">
      <w:pPr>
        <w:pStyle w:val="22"/>
        <w:framePr w:wrap="none" w:vAnchor="page" w:hAnchor="page" w:x="6084" w:y="514"/>
        <w:shd w:val="clear" w:color="auto" w:fill="auto"/>
        <w:spacing w:line="210" w:lineRule="exact"/>
      </w:pPr>
      <w:r>
        <w:lastRenderedPageBreak/>
        <w:t>3</w:t>
      </w:r>
    </w:p>
    <w:p w:rsidR="001E02DD" w:rsidRDefault="002E75FD">
      <w:pPr>
        <w:pStyle w:val="20"/>
        <w:framePr w:w="9970" w:h="6794" w:hRule="exact" w:wrap="none" w:vAnchor="page" w:hAnchor="page" w:x="1183" w:y="901"/>
        <w:shd w:val="clear" w:color="auto" w:fill="auto"/>
        <w:spacing w:after="0" w:line="278" w:lineRule="exact"/>
        <w:ind w:firstLine="760"/>
      </w:pPr>
      <w:r>
        <w:t>Из п.п. 5.3, 8.1, 9.1 Инструкции о</w:t>
      </w:r>
      <w:r>
        <w:t>б учете библиотечного фонда, утвержденной приказом Министерства культуры РФ № 590 от 02.12. 1998, следует, что в библиотеках должен осуществляться индивидуальный учет каждого экземпляра, поступающего в фонд библиотеки или выбывающего из него. Ответственнос</w:t>
      </w:r>
      <w:r>
        <w:t>ть за правильность организации учета фонда несет администрация библиотеки и сотрудники в соответствии с должностными обязанностями.</w:t>
      </w:r>
    </w:p>
    <w:p w:rsidR="001E02DD" w:rsidRDefault="002E75FD">
      <w:pPr>
        <w:pStyle w:val="20"/>
        <w:framePr w:w="9970" w:h="6794" w:hRule="exact" w:wrap="none" w:vAnchor="page" w:hAnchor="page" w:x="1183" w:y="901"/>
        <w:shd w:val="clear" w:color="auto" w:fill="auto"/>
        <w:spacing w:after="0" w:line="278" w:lineRule="exact"/>
        <w:ind w:firstLine="760"/>
      </w:pPr>
      <w:r>
        <w:t xml:space="preserve">Однако в нарушение требований закона в школьной библиотеке Учреждения </w:t>
      </w:r>
      <w:r>
        <w:rPr>
          <w:rStyle w:val="23"/>
        </w:rPr>
        <w:t>отсутствует федеральный список экстрем</w:t>
      </w:r>
      <w:r>
        <w:t xml:space="preserve">истских </w:t>
      </w:r>
      <w:r>
        <w:rPr>
          <w:rStyle w:val="23"/>
        </w:rPr>
        <w:t>материал</w:t>
      </w:r>
      <w:r>
        <w:t xml:space="preserve">ов^ соответственно не </w:t>
      </w:r>
      <w:r>
        <w:rPr>
          <w:rStyle w:val="23"/>
        </w:rPr>
        <w:t>проводятся проверки имею</w:t>
      </w:r>
      <w:r>
        <w:t xml:space="preserve">щегося </w:t>
      </w:r>
      <w:r>
        <w:rPr>
          <w:rStyle w:val="23"/>
        </w:rPr>
        <w:t>библиотечного фо</w:t>
      </w:r>
      <w:r>
        <w:t>нда и поступающей литературы на предмет отсутствия экстремистских материалов, включенных в список. При таких обстоятельствах создаются предпосылки возможного поступления в библиотечные фо</w:t>
      </w:r>
      <w:r>
        <w:t>нды материалов экстремистского характера и ознакомления с ними учащихся образовательного учреждения.</w:t>
      </w:r>
    </w:p>
    <w:p w:rsidR="001E02DD" w:rsidRDefault="002E75FD">
      <w:pPr>
        <w:pStyle w:val="20"/>
        <w:framePr w:w="9970" w:h="6794" w:hRule="exact" w:wrap="none" w:vAnchor="page" w:hAnchor="page" w:x="1183" w:y="901"/>
        <w:shd w:val="clear" w:color="auto" w:fill="auto"/>
        <w:spacing w:after="0" w:line="278" w:lineRule="exact"/>
        <w:ind w:firstLine="760"/>
      </w:pPr>
      <w:r>
        <w:t>Указанное обстоятельство может негативно повлиять на интеллектуальное, духовное, психическое и нравственное развитие несовершеннолетних, принести вред их н</w:t>
      </w:r>
      <w:r>
        <w:t>ормальному воспитанию и способствовать распространению экстремистских материалов.</w:t>
      </w:r>
    </w:p>
    <w:p w:rsidR="001E02DD" w:rsidRDefault="002E75FD">
      <w:pPr>
        <w:pStyle w:val="20"/>
        <w:framePr w:w="9970" w:h="6794" w:hRule="exact" w:wrap="none" w:vAnchor="page" w:hAnchor="page" w:x="1183" w:y="901"/>
        <w:shd w:val="clear" w:color="auto" w:fill="auto"/>
        <w:spacing w:after="0" w:line="278" w:lineRule="exact"/>
        <w:ind w:firstLine="760"/>
      </w:pPr>
      <w:r>
        <w:t xml:space="preserve">Причинами и условиями, способствующими допущению данных нарушений, является ненадлежащее исполнение должностными лицами возложенных на них обязанностей, а также ненадлежащий </w:t>
      </w:r>
      <w:r>
        <w:t>контроль за подчиненными сотрудниками со стороны руководства Учреждения.</w:t>
      </w:r>
    </w:p>
    <w:p w:rsidR="001E02DD" w:rsidRDefault="002E75FD">
      <w:pPr>
        <w:pStyle w:val="20"/>
        <w:framePr w:w="9970" w:h="6794" w:hRule="exact" w:wrap="none" w:vAnchor="page" w:hAnchor="page" w:x="1183" w:y="901"/>
        <w:shd w:val="clear" w:color="auto" w:fill="auto"/>
        <w:spacing w:after="0" w:line="278" w:lineRule="exact"/>
        <w:ind w:firstLine="760"/>
      </w:pPr>
      <w:r>
        <w:t>На основании изложенного, руководствуясь ст. 6, 24 Федерального закона «О прокуратуре Российской Федерации»,</w:t>
      </w:r>
    </w:p>
    <w:p w:rsidR="001E02DD" w:rsidRDefault="002E75FD">
      <w:pPr>
        <w:pStyle w:val="20"/>
        <w:framePr w:w="9970" w:h="4611" w:hRule="exact" w:wrap="none" w:vAnchor="page" w:hAnchor="page" w:x="1183" w:y="8518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60"/>
      </w:pPr>
      <w:r>
        <w:rPr>
          <w:rStyle w:val="24"/>
        </w:rPr>
        <w:t xml:space="preserve">Безотлагательно </w:t>
      </w:r>
      <w:r>
        <w:t>рассмотреть настоящее представление с участием представите</w:t>
      </w:r>
      <w:r>
        <w:t>ля прокуратуры города, принять все необходимые меры к устранению и недопущению впредь подобных нарушений законодательства, а так же причин и условий им способствующих.</w:t>
      </w:r>
    </w:p>
    <w:p w:rsidR="001E02DD" w:rsidRDefault="002E75FD">
      <w:pPr>
        <w:pStyle w:val="20"/>
        <w:framePr w:w="9970" w:h="4611" w:hRule="exact" w:wrap="none" w:vAnchor="page" w:hAnchor="page" w:x="1183" w:y="8518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60"/>
      </w:pPr>
      <w:r>
        <w:t>Рассмотреть вопрос о привлечении к дисциплинарной ответственности лиц, виновность которы</w:t>
      </w:r>
      <w:r>
        <w:t>х будет доказана по результатам служебной проверки.</w:t>
      </w:r>
    </w:p>
    <w:p w:rsidR="001E02DD" w:rsidRDefault="002E75FD">
      <w:pPr>
        <w:pStyle w:val="20"/>
        <w:framePr w:w="9970" w:h="4611" w:hRule="exact" w:wrap="none" w:vAnchor="page" w:hAnchor="page" w:x="1183" w:y="8518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60"/>
      </w:pPr>
      <w:r>
        <w:t>Принять меры к своевременной организации проверок, имеющегося библиотечного фонда и поступающей литературы на предмет отсутствия экстремистских материалов, включенных в список.</w:t>
      </w:r>
    </w:p>
    <w:p w:rsidR="001E02DD" w:rsidRDefault="002E75FD">
      <w:pPr>
        <w:pStyle w:val="20"/>
        <w:framePr w:w="9970" w:h="4611" w:hRule="exact" w:wrap="none" w:vAnchor="page" w:hAnchor="page" w:x="1183" w:y="8518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60"/>
      </w:pPr>
      <w:r>
        <w:t xml:space="preserve">О результатах рассмотрения </w:t>
      </w:r>
      <w:r>
        <w:t>и принятых мерах сообщить в прокуратуру города в письменной форме в установленный законом месячный срок (с приложением приказа о привлечении к дисциплинарной ответственности).</w:t>
      </w:r>
    </w:p>
    <w:p w:rsidR="001E02DD" w:rsidRDefault="002E75FD">
      <w:pPr>
        <w:pStyle w:val="20"/>
        <w:framePr w:w="9970" w:h="4611" w:hRule="exact" w:wrap="none" w:vAnchor="page" w:hAnchor="page" w:x="1183" w:y="8518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41" w:lineRule="exact"/>
        <w:ind w:firstLine="760"/>
      </w:pPr>
      <w:r>
        <w:t>О дате и месте рассмотрения настоящего представления уведомить прокуратуру город</w:t>
      </w:r>
      <w:r>
        <w:t>а.</w:t>
      </w:r>
    </w:p>
    <w:p w:rsidR="001E02DD" w:rsidRDefault="002E75FD">
      <w:pPr>
        <w:framePr w:wrap="none" w:vAnchor="page" w:hAnchor="page" w:x="242" w:y="576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23520"/>
            <wp:effectExtent l="0" t="0" r="4445" b="508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DD" w:rsidRDefault="002E75FD">
      <w:pPr>
        <w:pStyle w:val="10"/>
        <w:framePr w:w="9970" w:h="337" w:hRule="exact" w:wrap="none" w:vAnchor="page" w:hAnchor="page" w:x="1183" w:y="7985"/>
        <w:shd w:val="clear" w:color="auto" w:fill="auto"/>
        <w:spacing w:line="280" w:lineRule="exact"/>
        <w:jc w:val="center"/>
      </w:pPr>
      <w:bookmarkStart w:id="6" w:name="bookmark5"/>
      <w:r>
        <w:t>ТРЕБУЮ:</w:t>
      </w:r>
      <w:bookmarkEnd w:id="6"/>
    </w:p>
    <w:p w:rsidR="001E02DD" w:rsidRDefault="002E75FD">
      <w:pPr>
        <w:framePr w:wrap="none" w:vAnchor="page" w:hAnchor="page" w:x="314" w:y="103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13995"/>
            <wp:effectExtent l="0" t="0" r="4445" b="0"/>
            <wp:docPr id="6" name="Рисунок 6" descr="C:\Users\-92C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DD" w:rsidRDefault="002E75FD">
      <w:pPr>
        <w:pStyle w:val="a7"/>
        <w:framePr w:w="3418" w:h="700" w:hRule="exact" w:wrap="none" w:vAnchor="page" w:hAnchor="page" w:x="1221" w:y="13332"/>
        <w:shd w:val="clear" w:color="auto" w:fill="auto"/>
      </w:pPr>
      <w:r>
        <w:t>Про</w:t>
      </w:r>
      <w:r>
        <w:t>курор города младший советник юстиции</w:t>
      </w:r>
    </w:p>
    <w:p w:rsidR="001E02DD" w:rsidRDefault="002E75FD">
      <w:pPr>
        <w:framePr w:wrap="none" w:vAnchor="page" w:hAnchor="page" w:x="5061" w:y="133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89660" cy="369570"/>
            <wp:effectExtent l="0" t="0" r="0" b="0"/>
            <wp:docPr id="7" name="Рисунок 7" descr="C:\Users\-92C9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92C9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DD" w:rsidRDefault="002E75FD">
      <w:pPr>
        <w:pStyle w:val="20"/>
        <w:framePr w:wrap="none" w:vAnchor="page" w:hAnchor="page" w:x="1183" w:y="13648"/>
        <w:shd w:val="clear" w:color="auto" w:fill="auto"/>
        <w:spacing w:after="0" w:line="280" w:lineRule="exact"/>
        <w:ind w:left="8367"/>
        <w:jc w:val="left"/>
      </w:pPr>
      <w:r>
        <w:t>М.Ф. Тамаев</w:t>
      </w:r>
    </w:p>
    <w:p w:rsidR="001E02DD" w:rsidRDefault="002E75FD">
      <w:pPr>
        <w:pStyle w:val="60"/>
        <w:framePr w:wrap="none" w:vAnchor="page" w:hAnchor="page" w:x="1183" w:y="15219"/>
        <w:shd w:val="clear" w:color="auto" w:fill="auto"/>
        <w:spacing w:before="0" w:line="170" w:lineRule="exact"/>
      </w:pPr>
      <w:r>
        <w:t>Бисултанов X. Г.</w:t>
      </w:r>
    </w:p>
    <w:p w:rsidR="001E02DD" w:rsidRDefault="001E02DD">
      <w:pPr>
        <w:rPr>
          <w:sz w:val="2"/>
          <w:szCs w:val="2"/>
        </w:rPr>
      </w:pPr>
    </w:p>
    <w:sectPr w:rsidR="001E02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FD" w:rsidRDefault="002E75FD">
      <w:r>
        <w:separator/>
      </w:r>
    </w:p>
  </w:endnote>
  <w:endnote w:type="continuationSeparator" w:id="0">
    <w:p w:rsidR="002E75FD" w:rsidRDefault="002E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FD" w:rsidRDefault="002E75FD"/>
  </w:footnote>
  <w:footnote w:type="continuationSeparator" w:id="0">
    <w:p w:rsidR="002E75FD" w:rsidRDefault="002E75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740C2"/>
    <w:multiLevelType w:val="multilevel"/>
    <w:tmpl w:val="0F384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DD"/>
    <w:rsid w:val="001E02DD"/>
    <w:rsid w:val="002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rbel" w:eastAsia="Corbel" w:hAnsi="Corbel" w:cs="Corbe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mesNewRoman10pt">
    <w:name w:val="Колонтитул + Times New Roman;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4"/>
      <w:szCs w:val="14"/>
      <w:u w:val="none"/>
    </w:rPr>
  </w:style>
  <w:style w:type="character" w:customStyle="1" w:styleId="5FranklinGothicHeavy16pt-2pt">
    <w:name w:val="Основной текст (5) + Franklin Gothic Heavy;16 pt;Интервал -2 pt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bel" w:eastAsia="Corbel" w:hAnsi="Corbel" w:cs="Corbel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020" w:line="0" w:lineRule="atLeast"/>
      <w:jc w:val="both"/>
    </w:pPr>
    <w:rPr>
      <w:rFonts w:ascii="Times New Roman" w:eastAsia="Times New Roman" w:hAnsi="Times New Roman" w:cs="Times New Roman"/>
      <w:spacing w:val="-30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20" w:line="0" w:lineRule="atLeast"/>
    </w:pPr>
    <w:rPr>
      <w:rFonts w:ascii="Corbel" w:eastAsia="Corbel" w:hAnsi="Corbel" w:cs="Corbe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rbel" w:eastAsia="Corbel" w:hAnsi="Corbel" w:cs="Corbe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mesNewRoman10pt">
    <w:name w:val="Колонтитул + Times New Roman;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4"/>
      <w:szCs w:val="14"/>
      <w:u w:val="none"/>
    </w:rPr>
  </w:style>
  <w:style w:type="character" w:customStyle="1" w:styleId="5FranklinGothicHeavy16pt-2pt">
    <w:name w:val="Основной текст (5) + Franklin Gothic Heavy;16 pt;Интервал -2 pt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bel" w:eastAsia="Corbel" w:hAnsi="Corbel" w:cs="Corbel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020" w:line="0" w:lineRule="atLeast"/>
      <w:jc w:val="both"/>
    </w:pPr>
    <w:rPr>
      <w:rFonts w:ascii="Times New Roman" w:eastAsia="Times New Roman" w:hAnsi="Times New Roman" w:cs="Times New Roman"/>
      <w:spacing w:val="-30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20" w:line="0" w:lineRule="atLeast"/>
    </w:pPr>
    <w:rPr>
      <w:rFonts w:ascii="Corbel" w:eastAsia="Corbel" w:hAnsi="Corbel" w:cs="Corbe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2021-03-19T12:15:00Z</dcterms:created>
  <dcterms:modified xsi:type="dcterms:W3CDTF">2021-03-19T12:22:00Z</dcterms:modified>
</cp:coreProperties>
</file>